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14D9" w:rsidRPr="00977BE1" w:rsidRDefault="001D17FD" w:rsidP="00977BE1">
      <w:pPr>
        <w:spacing w:after="0"/>
        <w:rPr>
          <w:rFonts w:ascii="Arial" w:hAnsi="Arial" w:cs="Arial"/>
        </w:rPr>
      </w:pPr>
      <w:r w:rsidRPr="00977BE1">
        <w:rPr>
          <w:rFonts w:ascii="Arial" w:hAnsi="Arial" w:cs="Arial"/>
        </w:rPr>
        <w:t>Jade Garrett</w:t>
      </w:r>
    </w:p>
    <w:p w:rsidR="001D17FD" w:rsidRPr="00977BE1" w:rsidRDefault="001D17FD" w:rsidP="00977BE1">
      <w:pPr>
        <w:spacing w:after="0"/>
        <w:rPr>
          <w:rFonts w:ascii="Arial" w:hAnsi="Arial" w:cs="Arial"/>
        </w:rPr>
      </w:pPr>
      <w:r w:rsidRPr="00977BE1">
        <w:rPr>
          <w:rFonts w:ascii="Arial" w:hAnsi="Arial" w:cs="Arial"/>
        </w:rPr>
        <w:t>ECI 430</w:t>
      </w:r>
    </w:p>
    <w:p w:rsidR="001D17FD" w:rsidRPr="00977BE1" w:rsidRDefault="001D17FD" w:rsidP="00977BE1">
      <w:pPr>
        <w:spacing w:after="0"/>
        <w:rPr>
          <w:rFonts w:ascii="Arial" w:hAnsi="Arial" w:cs="Arial"/>
        </w:rPr>
      </w:pPr>
      <w:r w:rsidRPr="00977BE1">
        <w:rPr>
          <w:rFonts w:ascii="Arial" w:hAnsi="Arial" w:cs="Arial"/>
        </w:rPr>
        <w:t>Dr. Young</w:t>
      </w:r>
    </w:p>
    <w:p w:rsidR="001D17FD" w:rsidRPr="00977BE1" w:rsidRDefault="001D17FD" w:rsidP="00977BE1">
      <w:pPr>
        <w:spacing w:after="0"/>
        <w:rPr>
          <w:rFonts w:ascii="Arial" w:hAnsi="Arial" w:cs="Arial"/>
        </w:rPr>
      </w:pPr>
      <w:r w:rsidRPr="00977BE1">
        <w:rPr>
          <w:rFonts w:ascii="Arial" w:hAnsi="Arial" w:cs="Arial"/>
        </w:rPr>
        <w:t>25 October 2012</w:t>
      </w:r>
    </w:p>
    <w:p w:rsidR="00977BE1" w:rsidRPr="00977BE1" w:rsidRDefault="00977BE1" w:rsidP="00977BE1">
      <w:pPr>
        <w:spacing w:after="0"/>
        <w:jc w:val="center"/>
        <w:rPr>
          <w:rFonts w:ascii="Arial" w:hAnsi="Arial" w:cs="Arial"/>
        </w:rPr>
      </w:pPr>
    </w:p>
    <w:p w:rsidR="001D17FD" w:rsidRPr="00977BE1" w:rsidRDefault="00C55A47" w:rsidP="00977BE1">
      <w:pPr>
        <w:spacing w:after="0"/>
        <w:jc w:val="center"/>
        <w:rPr>
          <w:rFonts w:ascii="Arial" w:hAnsi="Arial" w:cs="Arial"/>
          <w:b/>
        </w:rPr>
      </w:pPr>
      <w:r w:rsidRPr="00977BE1">
        <w:rPr>
          <w:rFonts w:ascii="Arial" w:hAnsi="Arial" w:cs="Arial"/>
          <w:b/>
        </w:rPr>
        <w:t>“</w:t>
      </w:r>
      <w:r w:rsidR="001D17FD" w:rsidRPr="00977BE1">
        <w:rPr>
          <w:rFonts w:ascii="Arial" w:hAnsi="Arial" w:cs="Arial"/>
          <w:b/>
        </w:rPr>
        <w:t xml:space="preserve">Take </w:t>
      </w:r>
      <w:proofErr w:type="spellStart"/>
      <w:r w:rsidR="001D17FD" w:rsidRPr="00977BE1">
        <w:rPr>
          <w:rFonts w:ascii="Arial" w:hAnsi="Arial" w:cs="Arial"/>
          <w:b/>
        </w:rPr>
        <w:t>Aways</w:t>
      </w:r>
      <w:proofErr w:type="spellEnd"/>
      <w:r w:rsidRPr="00977BE1">
        <w:rPr>
          <w:rFonts w:ascii="Arial" w:hAnsi="Arial" w:cs="Arial"/>
          <w:b/>
        </w:rPr>
        <w:t>”</w:t>
      </w:r>
      <w:r w:rsidR="001D17FD" w:rsidRPr="00977BE1">
        <w:rPr>
          <w:rFonts w:ascii="Arial" w:hAnsi="Arial" w:cs="Arial"/>
          <w:b/>
        </w:rPr>
        <w:t xml:space="preserve"> from </w:t>
      </w:r>
      <w:proofErr w:type="spellStart"/>
      <w:r w:rsidR="001D17FD" w:rsidRPr="00977BE1">
        <w:rPr>
          <w:rFonts w:ascii="Arial" w:hAnsi="Arial" w:cs="Arial"/>
          <w:b/>
        </w:rPr>
        <w:t>Tchudi</w:t>
      </w:r>
      <w:proofErr w:type="spellEnd"/>
      <w:r w:rsidR="001D17FD" w:rsidRPr="00977BE1">
        <w:rPr>
          <w:rFonts w:ascii="Arial" w:hAnsi="Arial" w:cs="Arial"/>
          <w:b/>
        </w:rPr>
        <w:t xml:space="preserve"> &amp; Mitchell and </w:t>
      </w:r>
      <w:proofErr w:type="spellStart"/>
      <w:r w:rsidR="001D17FD" w:rsidRPr="00977BE1">
        <w:rPr>
          <w:rFonts w:ascii="Arial" w:hAnsi="Arial" w:cs="Arial"/>
          <w:b/>
        </w:rPr>
        <w:t>Tchudi</w:t>
      </w:r>
      <w:proofErr w:type="spellEnd"/>
      <w:r w:rsidR="001D17FD" w:rsidRPr="00977BE1">
        <w:rPr>
          <w:rFonts w:ascii="Arial" w:hAnsi="Arial" w:cs="Arial"/>
          <w:b/>
        </w:rPr>
        <w:t xml:space="preserve"> &amp; </w:t>
      </w:r>
      <w:proofErr w:type="spellStart"/>
      <w:r w:rsidR="001D17FD" w:rsidRPr="00977BE1">
        <w:rPr>
          <w:rFonts w:ascii="Arial" w:hAnsi="Arial" w:cs="Arial"/>
          <w:b/>
        </w:rPr>
        <w:t>Lafer</w:t>
      </w:r>
      <w:proofErr w:type="spellEnd"/>
    </w:p>
    <w:p w:rsidR="00977BE1" w:rsidRPr="00977BE1" w:rsidRDefault="00977BE1" w:rsidP="00977BE1">
      <w:pPr>
        <w:spacing w:after="0"/>
        <w:jc w:val="center"/>
        <w:rPr>
          <w:rFonts w:ascii="Arial" w:hAnsi="Arial" w:cs="Arial"/>
        </w:rPr>
      </w:pPr>
    </w:p>
    <w:p w:rsidR="00C55A47" w:rsidRPr="00977BE1" w:rsidRDefault="00C55A47" w:rsidP="00977BE1">
      <w:pPr>
        <w:spacing w:line="360" w:lineRule="auto"/>
        <w:rPr>
          <w:rFonts w:ascii="Arial" w:hAnsi="Arial" w:cs="Arial"/>
        </w:rPr>
      </w:pPr>
      <w:r w:rsidRPr="00977BE1">
        <w:rPr>
          <w:rFonts w:ascii="Arial" w:hAnsi="Arial" w:cs="Arial"/>
        </w:rPr>
        <w:tab/>
      </w:r>
      <w:proofErr w:type="spellStart"/>
      <w:r w:rsidRPr="00977BE1">
        <w:rPr>
          <w:rFonts w:ascii="Arial" w:hAnsi="Arial" w:cs="Arial"/>
        </w:rPr>
        <w:t>Tchudi</w:t>
      </w:r>
      <w:proofErr w:type="spellEnd"/>
      <w:r w:rsidRPr="00977BE1">
        <w:rPr>
          <w:rFonts w:ascii="Arial" w:hAnsi="Arial" w:cs="Arial"/>
        </w:rPr>
        <w:t xml:space="preserve"> and </w:t>
      </w:r>
      <w:proofErr w:type="spellStart"/>
      <w:r w:rsidRPr="00977BE1">
        <w:rPr>
          <w:rFonts w:ascii="Arial" w:hAnsi="Arial" w:cs="Arial"/>
        </w:rPr>
        <w:t>Lafer</w:t>
      </w:r>
      <w:proofErr w:type="spellEnd"/>
      <w:r w:rsidRPr="00977BE1">
        <w:rPr>
          <w:rFonts w:ascii="Arial" w:hAnsi="Arial" w:cs="Arial"/>
        </w:rPr>
        <w:t xml:space="preserve"> give an awesome list of what qualities make up a good theme. Some of their points are: </w:t>
      </w:r>
    </w:p>
    <w:p w:rsidR="00C55A47" w:rsidRPr="00977BE1" w:rsidRDefault="00C55A47" w:rsidP="00977BE1">
      <w:pPr>
        <w:pStyle w:val="ListParagraph"/>
        <w:numPr>
          <w:ilvl w:val="0"/>
          <w:numId w:val="1"/>
        </w:numPr>
        <w:spacing w:line="360" w:lineRule="auto"/>
        <w:rPr>
          <w:rFonts w:ascii="Arial" w:hAnsi="Arial" w:cs="Arial"/>
        </w:rPr>
      </w:pPr>
      <w:r w:rsidRPr="00977BE1">
        <w:rPr>
          <w:rFonts w:ascii="Arial" w:hAnsi="Arial" w:cs="Arial"/>
        </w:rPr>
        <w:t>A good theme should generate interesting questions</w:t>
      </w:r>
    </w:p>
    <w:p w:rsidR="00C55A47" w:rsidRPr="00977BE1" w:rsidRDefault="00C55A47" w:rsidP="00977BE1">
      <w:pPr>
        <w:pStyle w:val="ListParagraph"/>
        <w:numPr>
          <w:ilvl w:val="0"/>
          <w:numId w:val="1"/>
        </w:numPr>
        <w:spacing w:line="360" w:lineRule="auto"/>
        <w:rPr>
          <w:rFonts w:ascii="Arial" w:hAnsi="Arial" w:cs="Arial"/>
        </w:rPr>
      </w:pPr>
      <w:r w:rsidRPr="00977BE1">
        <w:rPr>
          <w:rFonts w:ascii="Arial" w:hAnsi="Arial" w:cs="Arial"/>
        </w:rPr>
        <w:t xml:space="preserve">Lead to </w:t>
      </w:r>
      <w:proofErr w:type="spellStart"/>
      <w:r w:rsidRPr="00977BE1">
        <w:rPr>
          <w:rFonts w:ascii="Arial" w:hAnsi="Arial" w:cs="Arial"/>
        </w:rPr>
        <w:t>metacognition</w:t>
      </w:r>
      <w:proofErr w:type="spellEnd"/>
      <w:r w:rsidRPr="00977BE1">
        <w:rPr>
          <w:rFonts w:ascii="Arial" w:hAnsi="Arial" w:cs="Arial"/>
        </w:rPr>
        <w:t xml:space="preserve"> or the thought about the thought process</w:t>
      </w:r>
    </w:p>
    <w:p w:rsidR="00C55A47" w:rsidRPr="00977BE1" w:rsidRDefault="00C55A47" w:rsidP="00977BE1">
      <w:pPr>
        <w:pStyle w:val="ListParagraph"/>
        <w:numPr>
          <w:ilvl w:val="0"/>
          <w:numId w:val="1"/>
        </w:numPr>
        <w:spacing w:line="360" w:lineRule="auto"/>
        <w:rPr>
          <w:rFonts w:ascii="Arial" w:hAnsi="Arial" w:cs="Arial"/>
        </w:rPr>
      </w:pPr>
      <w:r w:rsidRPr="00977BE1">
        <w:rPr>
          <w:rFonts w:ascii="Arial" w:hAnsi="Arial" w:cs="Arial"/>
        </w:rPr>
        <w:t xml:space="preserve">Lead students to discover what they know and what they know how to do </w:t>
      </w:r>
    </w:p>
    <w:p w:rsidR="00C55A47" w:rsidRPr="00977BE1" w:rsidRDefault="00C55A47" w:rsidP="00977BE1">
      <w:pPr>
        <w:pStyle w:val="ListParagraph"/>
        <w:numPr>
          <w:ilvl w:val="0"/>
          <w:numId w:val="1"/>
        </w:numPr>
        <w:spacing w:line="360" w:lineRule="auto"/>
        <w:rPr>
          <w:rFonts w:ascii="Arial" w:hAnsi="Arial" w:cs="Arial"/>
        </w:rPr>
      </w:pPr>
      <w:r w:rsidRPr="00977BE1">
        <w:rPr>
          <w:rFonts w:ascii="Arial" w:hAnsi="Arial" w:cs="Arial"/>
        </w:rPr>
        <w:t>Questions and problems posed by good themes lead to thought that leads to exploration</w:t>
      </w:r>
    </w:p>
    <w:p w:rsidR="00C55A47" w:rsidRPr="00977BE1" w:rsidRDefault="00C55A47" w:rsidP="00977BE1">
      <w:pPr>
        <w:pStyle w:val="ListParagraph"/>
        <w:numPr>
          <w:ilvl w:val="0"/>
          <w:numId w:val="1"/>
        </w:numPr>
        <w:spacing w:line="360" w:lineRule="auto"/>
        <w:rPr>
          <w:rFonts w:ascii="Arial" w:hAnsi="Arial" w:cs="Arial"/>
        </w:rPr>
      </w:pPr>
      <w:r w:rsidRPr="00977BE1">
        <w:rPr>
          <w:rFonts w:ascii="Arial" w:hAnsi="Arial" w:cs="Arial"/>
        </w:rPr>
        <w:t>Create a need and desire for disciplinary and interdisciplinary skill and knowledge &amp; seek and apply disciplinary and interdisciplinary skill and knowledge</w:t>
      </w:r>
    </w:p>
    <w:p w:rsidR="00C55A47" w:rsidRPr="00977BE1" w:rsidRDefault="00C55A47" w:rsidP="00977BE1">
      <w:pPr>
        <w:pStyle w:val="ListParagraph"/>
        <w:numPr>
          <w:ilvl w:val="0"/>
          <w:numId w:val="1"/>
        </w:numPr>
        <w:spacing w:line="360" w:lineRule="auto"/>
        <w:rPr>
          <w:rFonts w:ascii="Arial" w:hAnsi="Arial" w:cs="Arial"/>
        </w:rPr>
      </w:pPr>
      <w:r w:rsidRPr="00977BE1">
        <w:rPr>
          <w:rFonts w:ascii="Arial" w:hAnsi="Arial" w:cs="Arial"/>
        </w:rPr>
        <w:t>Provide goals that cause the learner to discover the whys of discipline</w:t>
      </w:r>
    </w:p>
    <w:p w:rsidR="00C55A47" w:rsidRPr="00977BE1" w:rsidRDefault="00C55A47" w:rsidP="00977BE1">
      <w:pPr>
        <w:pStyle w:val="ListParagraph"/>
        <w:numPr>
          <w:ilvl w:val="0"/>
          <w:numId w:val="1"/>
        </w:numPr>
        <w:spacing w:line="360" w:lineRule="auto"/>
        <w:rPr>
          <w:rFonts w:ascii="Arial" w:hAnsi="Arial" w:cs="Arial"/>
        </w:rPr>
      </w:pPr>
      <w:r w:rsidRPr="00977BE1">
        <w:rPr>
          <w:rFonts w:ascii="Arial" w:hAnsi="Arial" w:cs="Arial"/>
        </w:rPr>
        <w:t>Naturally lead to interdisciplinary inquiry</w:t>
      </w:r>
    </w:p>
    <w:p w:rsidR="00C55A47" w:rsidRPr="00977BE1" w:rsidRDefault="00C55A47" w:rsidP="00977BE1">
      <w:pPr>
        <w:pStyle w:val="ListParagraph"/>
        <w:numPr>
          <w:ilvl w:val="0"/>
          <w:numId w:val="1"/>
        </w:numPr>
        <w:spacing w:line="360" w:lineRule="auto"/>
        <w:rPr>
          <w:rFonts w:ascii="Arial" w:hAnsi="Arial" w:cs="Arial"/>
        </w:rPr>
      </w:pPr>
      <w:r w:rsidRPr="00977BE1">
        <w:rPr>
          <w:rFonts w:ascii="Arial" w:hAnsi="Arial" w:cs="Arial"/>
        </w:rPr>
        <w:t>Build strong communities of learners</w:t>
      </w:r>
    </w:p>
    <w:p w:rsidR="00C55A47" w:rsidRPr="00977BE1" w:rsidRDefault="00C55A47" w:rsidP="00977BE1">
      <w:pPr>
        <w:pStyle w:val="ListParagraph"/>
        <w:numPr>
          <w:ilvl w:val="0"/>
          <w:numId w:val="1"/>
        </w:numPr>
        <w:spacing w:line="360" w:lineRule="auto"/>
        <w:rPr>
          <w:rFonts w:ascii="Arial" w:hAnsi="Arial" w:cs="Arial"/>
        </w:rPr>
      </w:pPr>
      <w:r w:rsidRPr="00977BE1">
        <w:rPr>
          <w:rFonts w:ascii="Arial" w:hAnsi="Arial" w:cs="Arial"/>
        </w:rPr>
        <w:t>Cooperation that evolves as a group works together to accomplish things</w:t>
      </w:r>
    </w:p>
    <w:p w:rsidR="00C55A47" w:rsidRPr="00977BE1" w:rsidRDefault="00C55A47" w:rsidP="00977BE1">
      <w:pPr>
        <w:spacing w:line="360" w:lineRule="auto"/>
        <w:rPr>
          <w:rFonts w:ascii="Arial" w:hAnsi="Arial" w:cs="Arial"/>
        </w:rPr>
      </w:pPr>
    </w:p>
    <w:p w:rsidR="00977BE1" w:rsidRPr="00977BE1" w:rsidRDefault="00977BE1" w:rsidP="00977BE1">
      <w:pPr>
        <w:spacing w:line="360" w:lineRule="auto"/>
        <w:ind w:left="360" w:firstLine="360"/>
        <w:rPr>
          <w:rFonts w:ascii="Arial" w:hAnsi="Arial" w:cs="Arial"/>
        </w:rPr>
      </w:pPr>
      <w:r w:rsidRPr="00977BE1">
        <w:rPr>
          <w:rFonts w:ascii="Arial" w:hAnsi="Arial" w:cs="Arial"/>
        </w:rPr>
        <w:t xml:space="preserve">Something I thought was extremely important in </w:t>
      </w:r>
      <w:proofErr w:type="spellStart"/>
      <w:r w:rsidRPr="00977BE1">
        <w:rPr>
          <w:rFonts w:ascii="Arial" w:hAnsi="Arial" w:cs="Arial"/>
        </w:rPr>
        <w:t>Tchudi</w:t>
      </w:r>
      <w:proofErr w:type="spellEnd"/>
      <w:r w:rsidRPr="00977BE1">
        <w:rPr>
          <w:rFonts w:ascii="Arial" w:hAnsi="Arial" w:cs="Arial"/>
        </w:rPr>
        <w:t xml:space="preserve"> and Mitchell’s text was that thematic units accommodate a wide range of literary and other linguistic materials, they are naturally interdisciplinary, and they allow for the integration of reading, writing, listening and speaking. I thought this was great for me to read because in my mind, I would plan a unit with all of those sections covered. </w:t>
      </w:r>
    </w:p>
    <w:p w:rsidR="00977BE1" w:rsidRPr="00977BE1" w:rsidRDefault="00977BE1" w:rsidP="00977BE1">
      <w:pPr>
        <w:spacing w:line="360" w:lineRule="auto"/>
        <w:ind w:left="360" w:firstLine="360"/>
        <w:rPr>
          <w:rFonts w:ascii="Arial" w:hAnsi="Arial" w:cs="Arial"/>
        </w:rPr>
      </w:pPr>
      <w:r w:rsidRPr="00977BE1">
        <w:rPr>
          <w:rFonts w:ascii="Arial" w:hAnsi="Arial" w:cs="Arial"/>
        </w:rPr>
        <w:t xml:space="preserve">Also, I noted that a unit plan can’t be approached linearly because the purpose is for students to find ways to connect some of the information to information that is relevant to them and their lives. </w:t>
      </w:r>
    </w:p>
    <w:p w:rsidR="001D17FD" w:rsidRDefault="00C55A47" w:rsidP="00C55A47">
      <w:r>
        <w:t xml:space="preserve"> </w:t>
      </w:r>
    </w:p>
    <w:sectPr w:rsidR="001D17FD" w:rsidSect="00CF14D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685734"/>
    <w:multiLevelType w:val="hybridMultilevel"/>
    <w:tmpl w:val="41CC87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savePreviewPicture/>
  <w:compat/>
  <w:rsids>
    <w:rsidRoot w:val="001D17FD"/>
    <w:rsid w:val="001D17FD"/>
    <w:rsid w:val="00977BE1"/>
    <w:rsid w:val="00C55A47"/>
    <w:rsid w:val="00CF14D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14D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55A47"/>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72</TotalTime>
  <Pages>1</Pages>
  <Words>219</Words>
  <Characters>1250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Jade</dc:creator>
  <cp:lastModifiedBy>Jade</cp:lastModifiedBy>
  <cp:revision>2</cp:revision>
  <dcterms:created xsi:type="dcterms:W3CDTF">2012-10-25T00:17:00Z</dcterms:created>
  <dcterms:modified xsi:type="dcterms:W3CDTF">2012-10-25T01:29:00Z</dcterms:modified>
</cp:coreProperties>
</file>